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Элективные курсы по физической культуре</w:t>
            </w:r>
          </w:p>
          <w:p>
            <w:pPr>
              <w:jc w:val="center"/>
              <w:spacing w:after="0" w:line="240" w:lineRule="auto"/>
              <w:rPr>
                <w:sz w:val="32"/>
                <w:szCs w:val="32"/>
              </w:rPr>
            </w:pPr>
            <w:r>
              <w:rPr>
                <w:rFonts w:ascii="Times New Roman" w:hAnsi="Times New Roman" w:cs="Times New Roman"/>
                <w:color w:val="#000000"/>
                <w:sz w:val="32"/>
                <w:szCs w:val="32"/>
              </w:rPr>
              <w:t> К.М.03.05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«Дошкольное образование и начальное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заочная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«Элективные курсы по физической культуре»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К.М.03.05 «Элективные курсы по физической культуре».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«Элективные курсы по физической культуре»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физиологические и социально-психологические основы физического развития личности и воспитания личности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основные понятия, формы и методы формирования физической культуры, культуры безопасности и здорового образа жизни в различных возрастных группах и различных физиологических состояниях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знать теоретические подходы к безопасной организации и проведению занятий физической культурой и спортом, формированию физических качеств и двигательных навыков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знать роль и значение физической культуры и спорта в обеспечении полноценной социальной и профессиональной деятельности, укреплении здоровья и профилактике профессиональных заболеваний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знать санитарно-эпидемиологические нормы и правила обеспечения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знать основные симптомы распространенных заболеваний и меры их профилактики, основы оказания первой помощи при неотложных состояниях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УК-7.7 уметь применять средства и методы физического воспитания для осуществления профессионально-личностного развития с целью физического самосовершенствования и ведения здорового образа жизни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УК-7.8 уметь выбирать и применять знания и здоровьесберегающие технологии в области физической культуры для сохранения здоровья, поддержания должного уровня физической готовности в социальной, профессиональной деятельности и в быту</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УК-7.9 уметь учитывать индивидуальные физические возможности для безопасной организации и проведения занятий физической культурой и спортом, с целью обеспечения полноценной социальной и профессиональной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УК-7.10 уметь оказывать первую помощь пострадавшим при возникновении неотложных состояний</w:t>
            </w:r>
          </w:p>
        </w:tc>
      </w:tr>
      <w:tr>
        <w:trPr>
          <w:trHeight w:hRule="exact" w:val="585.061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УК-7.11 уметь применять меры профилактики травматизма в быту и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УК-7.12 владеть навыками применения основных форм и методов физического воспитания</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УК-7.13 владеть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обучающихся (с выполнением установленных нормативов по общей физической и спортивно-технической подготовке)</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УК-7.14 владеть навыками определения и учета состояния организма для определения величины физических нагрузок</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УК-7.15 владеть системой умений, направленных на формирование устойчивой мотивации к занятиям физической культурой, ведению ЗОЖ и отказа от вредных привычек</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УК-7.16 владеть навыками ориентации в информационном пространстве по вопросам поддержания должного уровня физической подготовки и ЗОЖ</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К.М.03.05 «Элективные курсы по физической культуре»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w:t>
            </w:r>
          </w:p>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Модуль, формирующий компетенции физической культуры</w:t>
            </w:r>
          </w:p>
          <w:p>
            <w:pPr>
              <w:jc w:val="center"/>
              <w:spacing w:after="0" w:line="240" w:lineRule="auto"/>
              <w:rPr>
                <w:sz w:val="22"/>
                <w:szCs w:val="22"/>
              </w:rPr>
            </w:pPr>
            <w:r>
              <w:rPr>
                <w:rFonts w:ascii="Times New Roman" w:hAnsi="Times New Roman" w:cs="Times New Roman"/>
                <w:color w:val="#000000"/>
                <w:sz w:val="22"/>
                <w:szCs w:val="22"/>
              </w:rPr>
              <w:t> Модуль здоровья и безопасности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0 зачетных единиц – 328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292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 3, 4</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055.9"/>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Игровые виды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 приема – передачи – атакующего удара – блока.  Развитие прыгучести.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453.25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волейбола. Правила  соревнований игры в волейбол. Общефизическая подготовка развитие мышц: туловища, рук,  ног. Развитие :</w:t>
            </w:r>
          </w:p>
          <w:p>
            <w:pPr>
              <w:jc w:val="left"/>
              <w:spacing w:after="0" w:line="240" w:lineRule="auto"/>
              <w:rPr>
                <w:sz w:val="24"/>
                <w:szCs w:val="24"/>
              </w:rPr>
            </w:pPr>
            <w:r>
              <w:rPr>
                <w:rFonts w:ascii="Times New Roman" w:hAnsi="Times New Roman" w:cs="Times New Roman"/>
                <w:color w:val="#000000"/>
                <w:sz w:val="24"/>
                <w:szCs w:val="24"/>
              </w:rPr>
              <w:t> -выносливости;</w:t>
            </w:r>
          </w:p>
          <w:p>
            <w:pPr>
              <w:jc w:val="left"/>
              <w:spacing w:after="0" w:line="240" w:lineRule="auto"/>
              <w:rPr>
                <w:sz w:val="24"/>
                <w:szCs w:val="24"/>
              </w:rPr>
            </w:pPr>
            <w:r>
              <w:rPr>
                <w:rFonts w:ascii="Times New Roman" w:hAnsi="Times New Roman" w:cs="Times New Roman"/>
                <w:color w:val="#000000"/>
                <w:sz w:val="24"/>
                <w:szCs w:val="24"/>
              </w:rPr>
              <w:t>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Изучение элементов техники передвижений, работа в группах, парах. Стойки и перемещения, их сочетания (бег, скачок, остановки).  Передача мяча сверху и снизу в опорном положении.  Изучение (совершенствование) техники подачи:</w:t>
            </w:r>
          </w:p>
          <w:p>
            <w:pPr>
              <w:jc w:val="left"/>
              <w:spacing w:after="0" w:line="240" w:lineRule="auto"/>
              <w:rPr>
                <w:sz w:val="24"/>
                <w:szCs w:val="24"/>
              </w:rPr>
            </w:pPr>
            <w:r>
              <w:rPr>
                <w:rFonts w:ascii="Times New Roman" w:hAnsi="Times New Roman" w:cs="Times New Roman"/>
                <w:color w:val="#000000"/>
                <w:sz w:val="24"/>
                <w:szCs w:val="24"/>
              </w:rPr>
              <w:t> нижняя прямая;</w:t>
            </w:r>
          </w:p>
          <w:p>
            <w:pPr>
              <w:jc w:val="left"/>
              <w:spacing w:after="0" w:line="240" w:lineRule="auto"/>
              <w:rPr>
                <w:sz w:val="24"/>
                <w:szCs w:val="24"/>
              </w:rPr>
            </w:pPr>
            <w:r>
              <w:rPr>
                <w:rFonts w:ascii="Times New Roman" w:hAnsi="Times New Roman" w:cs="Times New Roman"/>
                <w:color w:val="#000000"/>
                <w:sz w:val="24"/>
                <w:szCs w:val="24"/>
              </w:rPr>
              <w:t> нижняя боковая;</w:t>
            </w:r>
          </w:p>
          <w:p>
            <w:pPr>
              <w:jc w:val="left"/>
              <w:spacing w:after="0" w:line="240" w:lineRule="auto"/>
              <w:rPr>
                <w:sz w:val="24"/>
                <w:szCs w:val="24"/>
              </w:rPr>
            </w:pPr>
            <w:r>
              <w:rPr>
                <w:rFonts w:ascii="Times New Roman" w:hAnsi="Times New Roman" w:cs="Times New Roman"/>
                <w:color w:val="#000000"/>
                <w:sz w:val="24"/>
                <w:szCs w:val="24"/>
              </w:rPr>
              <w:t> верхняя прямая.</w:t>
            </w:r>
          </w:p>
          <w:p>
            <w:pPr>
              <w:jc w:val="left"/>
              <w:spacing w:after="0" w:line="240" w:lineRule="auto"/>
              <w:rPr>
                <w:sz w:val="24"/>
                <w:szCs w:val="24"/>
              </w:rPr>
            </w:pPr>
            <w:r>
              <w:rPr>
                <w:rFonts w:ascii="Times New Roman" w:hAnsi="Times New Roman" w:cs="Times New Roman"/>
                <w:color w:val="#000000"/>
                <w:sz w:val="24"/>
                <w:szCs w:val="24"/>
              </w:rPr>
              <w:t> Прием и передача мяча снизу, сверху в прыжке. Комплекс упражнений на развитие прыгучести. Изучение совершенствование техники атакующего удара – блока. Совершенствование техники игры в нападении и защите. Судейство. Дневник самоконтроля (объективные и субъективные меторды, ЧСС, АД)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Игровые виды спорта 3</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207.7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 приема – передачи – атакующего удара – блока. Совершенствование индивидуальной специальной выносливости, скоростно-силовых качеств.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6264.5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соревнований игры в волейбол (обязанности главного судьй, боковых судей, технического секретаря). Общефизическая подготовка волейболиста.  Совершенствование:</w:t>
            </w:r>
          </w:p>
          <w:p>
            <w:pPr>
              <w:jc w:val="left"/>
              <w:spacing w:after="0" w:line="240" w:lineRule="auto"/>
              <w:rPr>
                <w:sz w:val="24"/>
                <w:szCs w:val="24"/>
              </w:rPr>
            </w:pPr>
            <w:r>
              <w:rPr>
                <w:rFonts w:ascii="Times New Roman" w:hAnsi="Times New Roman" w:cs="Times New Roman"/>
                <w:color w:val="#000000"/>
                <w:sz w:val="24"/>
                <w:szCs w:val="24"/>
              </w:rPr>
              <w:t> -выносливости;</w:t>
            </w:r>
          </w:p>
          <w:p>
            <w:pPr>
              <w:jc w:val="left"/>
              <w:spacing w:after="0" w:line="240" w:lineRule="auto"/>
              <w:rPr>
                <w:sz w:val="24"/>
                <w:szCs w:val="24"/>
              </w:rPr>
            </w:pPr>
            <w:r>
              <w:rPr>
                <w:rFonts w:ascii="Times New Roman" w:hAnsi="Times New Roman" w:cs="Times New Roman"/>
                <w:color w:val="#000000"/>
                <w:sz w:val="24"/>
                <w:szCs w:val="24"/>
              </w:rPr>
              <w:t>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Совершенствование элементов техники передвижений, работа в группах, парах. Стойки и перемещения, их сочетания (бег, скачок, остановки). Передача мяча сверху и снизу в опорном положении. Совершенствование индивидуальной техники подачи:</w:t>
            </w:r>
          </w:p>
          <w:p>
            <w:pPr>
              <w:jc w:val="left"/>
              <w:spacing w:after="0" w:line="240" w:lineRule="auto"/>
              <w:rPr>
                <w:sz w:val="24"/>
                <w:szCs w:val="24"/>
              </w:rPr>
            </w:pPr>
            <w:r>
              <w:rPr>
                <w:rFonts w:ascii="Times New Roman" w:hAnsi="Times New Roman" w:cs="Times New Roman"/>
                <w:color w:val="#000000"/>
                <w:sz w:val="24"/>
                <w:szCs w:val="24"/>
              </w:rPr>
              <w:t> нижняя прямая;</w:t>
            </w:r>
          </w:p>
          <w:p>
            <w:pPr>
              <w:jc w:val="left"/>
              <w:spacing w:after="0" w:line="240" w:lineRule="auto"/>
              <w:rPr>
                <w:sz w:val="24"/>
                <w:szCs w:val="24"/>
              </w:rPr>
            </w:pPr>
            <w:r>
              <w:rPr>
                <w:rFonts w:ascii="Times New Roman" w:hAnsi="Times New Roman" w:cs="Times New Roman"/>
                <w:color w:val="#000000"/>
                <w:sz w:val="24"/>
                <w:szCs w:val="24"/>
              </w:rPr>
              <w:t> нижняя боковая;</w:t>
            </w:r>
          </w:p>
          <w:p>
            <w:pPr>
              <w:jc w:val="left"/>
              <w:spacing w:after="0" w:line="240" w:lineRule="auto"/>
              <w:rPr>
                <w:sz w:val="24"/>
                <w:szCs w:val="24"/>
              </w:rPr>
            </w:pPr>
            <w:r>
              <w:rPr>
                <w:rFonts w:ascii="Times New Roman" w:hAnsi="Times New Roman" w:cs="Times New Roman"/>
                <w:color w:val="#000000"/>
                <w:sz w:val="24"/>
                <w:szCs w:val="24"/>
              </w:rPr>
              <w:t> верхняя боковая;</w:t>
            </w:r>
          </w:p>
          <w:p>
            <w:pPr>
              <w:jc w:val="left"/>
              <w:spacing w:after="0" w:line="240" w:lineRule="auto"/>
              <w:rPr>
                <w:sz w:val="24"/>
                <w:szCs w:val="24"/>
              </w:rPr>
            </w:pPr>
            <w:r>
              <w:rPr>
                <w:rFonts w:ascii="Times New Roman" w:hAnsi="Times New Roman" w:cs="Times New Roman"/>
                <w:color w:val="#000000"/>
                <w:sz w:val="24"/>
                <w:szCs w:val="24"/>
              </w:rPr>
              <w:t> верхняя прямая.</w:t>
            </w:r>
          </w:p>
          <w:p>
            <w:pPr>
              <w:jc w:val="left"/>
              <w:spacing w:after="0" w:line="240" w:lineRule="auto"/>
              <w:rPr>
                <w:sz w:val="24"/>
                <w:szCs w:val="24"/>
              </w:rPr>
            </w:pPr>
            <w:r>
              <w:rPr>
                <w:rFonts w:ascii="Times New Roman" w:hAnsi="Times New Roman" w:cs="Times New Roman"/>
                <w:color w:val="#000000"/>
                <w:sz w:val="24"/>
                <w:szCs w:val="24"/>
              </w:rPr>
              <w:t> Совершенствование индивидуальной техникипПриема и передача мяча снизу, сверху в прыжке.  Комплекс упражнений на развитие прыгучести. Совершенствование техники атакующего удара – блока. Совершенствование техники игры в нападении и защите. Совершенствование навыка судейства.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Игровые виды спорта 4</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9239.68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Судейство в должности: главного судьи соревнования, бокового судьи; технического секретаря. Общефизическая подготовка волейболиста.  Дальнейшее совершенствование:</w:t>
            </w:r>
          </w:p>
          <w:p>
            <w:pPr>
              <w:jc w:val="left"/>
              <w:spacing w:after="0" w:line="240" w:lineRule="auto"/>
              <w:rPr>
                <w:sz w:val="24"/>
                <w:szCs w:val="24"/>
              </w:rPr>
            </w:pPr>
            <w:r>
              <w:rPr>
                <w:rFonts w:ascii="Times New Roman" w:hAnsi="Times New Roman" w:cs="Times New Roman"/>
                <w:color w:val="#000000"/>
                <w:sz w:val="24"/>
                <w:szCs w:val="24"/>
              </w:rPr>
              <w:t> -выносливости;</w:t>
            </w:r>
          </w:p>
          <w:p>
            <w:pPr>
              <w:jc w:val="left"/>
              <w:spacing w:after="0" w:line="240" w:lineRule="auto"/>
              <w:rPr>
                <w:sz w:val="24"/>
                <w:szCs w:val="24"/>
              </w:rPr>
            </w:pPr>
            <w:r>
              <w:rPr>
                <w:rFonts w:ascii="Times New Roman" w:hAnsi="Times New Roman" w:cs="Times New Roman"/>
                <w:color w:val="#000000"/>
                <w:sz w:val="24"/>
                <w:szCs w:val="24"/>
              </w:rPr>
              <w:t>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элементов техники передвижений, в группе, парах. Дальнейшее совершенствование индивидуальной техники (Стойки и перемещения, их сочетания (бег, скачок, остановки).  Передача мяча сверху и снизу в прыжке.  Совершенствование индивидуальной техники подачи:</w:t>
            </w:r>
          </w:p>
          <w:p>
            <w:pPr>
              <w:jc w:val="left"/>
              <w:spacing w:after="0" w:line="240" w:lineRule="auto"/>
              <w:rPr>
                <w:sz w:val="24"/>
                <w:szCs w:val="24"/>
              </w:rPr>
            </w:pPr>
            <w:r>
              <w:rPr>
                <w:rFonts w:ascii="Times New Roman" w:hAnsi="Times New Roman" w:cs="Times New Roman"/>
                <w:color w:val="#000000"/>
                <w:sz w:val="24"/>
                <w:szCs w:val="24"/>
              </w:rPr>
              <w:t> нижняя прямая;</w:t>
            </w:r>
          </w:p>
          <w:p>
            <w:pPr>
              <w:jc w:val="left"/>
              <w:spacing w:after="0" w:line="240" w:lineRule="auto"/>
              <w:rPr>
                <w:sz w:val="24"/>
                <w:szCs w:val="24"/>
              </w:rPr>
            </w:pPr>
            <w:r>
              <w:rPr>
                <w:rFonts w:ascii="Times New Roman" w:hAnsi="Times New Roman" w:cs="Times New Roman"/>
                <w:color w:val="#000000"/>
                <w:sz w:val="24"/>
                <w:szCs w:val="24"/>
              </w:rPr>
              <w:t> нижняя боковая;</w:t>
            </w:r>
          </w:p>
          <w:p>
            <w:pPr>
              <w:jc w:val="left"/>
              <w:spacing w:after="0" w:line="240" w:lineRule="auto"/>
              <w:rPr>
                <w:sz w:val="24"/>
                <w:szCs w:val="24"/>
              </w:rPr>
            </w:pPr>
            <w:r>
              <w:rPr>
                <w:rFonts w:ascii="Times New Roman" w:hAnsi="Times New Roman" w:cs="Times New Roman"/>
                <w:color w:val="#000000"/>
                <w:sz w:val="24"/>
                <w:szCs w:val="24"/>
              </w:rPr>
              <w:t> верхняя боковая;</w:t>
            </w:r>
          </w:p>
          <w:p>
            <w:pPr>
              <w:jc w:val="left"/>
              <w:spacing w:after="0" w:line="240" w:lineRule="auto"/>
              <w:rPr>
                <w:sz w:val="24"/>
                <w:szCs w:val="24"/>
              </w:rPr>
            </w:pPr>
            <w:r>
              <w:rPr>
                <w:rFonts w:ascii="Times New Roman" w:hAnsi="Times New Roman" w:cs="Times New Roman"/>
                <w:color w:val="#000000"/>
                <w:sz w:val="24"/>
                <w:szCs w:val="24"/>
              </w:rPr>
              <w:t> верхняя прямая.</w:t>
            </w:r>
          </w:p>
          <w:p>
            <w:pPr>
              <w:jc w:val="left"/>
              <w:spacing w:after="0" w:line="240" w:lineRule="auto"/>
              <w:rPr>
                <w:sz w:val="24"/>
                <w:szCs w:val="24"/>
              </w:rPr>
            </w:pPr>
            <w:r>
              <w:rPr>
                <w:rFonts w:ascii="Times New Roman" w:hAnsi="Times New Roman" w:cs="Times New Roman"/>
                <w:color w:val="#000000"/>
                <w:sz w:val="24"/>
                <w:szCs w:val="24"/>
              </w:rPr>
              <w:t> Судейство в должности: главного судьи соревнования, бокового судьи; технического секретаря. Общефизическая подготовка волейболиста.  Дальнейшее совершенствование:</w:t>
            </w:r>
          </w:p>
          <w:p>
            <w:pPr>
              <w:jc w:val="left"/>
              <w:spacing w:after="0" w:line="240" w:lineRule="auto"/>
              <w:rPr>
                <w:sz w:val="24"/>
                <w:szCs w:val="24"/>
              </w:rPr>
            </w:pPr>
            <w:r>
              <w:rPr>
                <w:rFonts w:ascii="Times New Roman" w:hAnsi="Times New Roman" w:cs="Times New Roman"/>
                <w:color w:val="#000000"/>
                <w:sz w:val="24"/>
                <w:szCs w:val="24"/>
              </w:rPr>
              <w:t> -выносливости;</w:t>
            </w:r>
          </w:p>
          <w:p>
            <w:pPr>
              <w:jc w:val="left"/>
              <w:spacing w:after="0" w:line="240" w:lineRule="auto"/>
              <w:rPr>
                <w:sz w:val="24"/>
                <w:szCs w:val="24"/>
              </w:rPr>
            </w:pPr>
            <w:r>
              <w:rPr>
                <w:rFonts w:ascii="Times New Roman" w:hAnsi="Times New Roman" w:cs="Times New Roman"/>
                <w:color w:val="#000000"/>
                <w:sz w:val="24"/>
                <w:szCs w:val="24"/>
              </w:rPr>
              <w:t>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элементов техники передвижений, в группе, парах. Дальнейшее совершенствование индивидуальной техники (Стойки и перемещения, их сочетания (бег, скачок, остановки).  Передача мяча сверху и снизу в прыжке.  Совершенствование индивидуальной техники подачи:</w:t>
            </w:r>
          </w:p>
          <w:p>
            <w:pPr>
              <w:jc w:val="left"/>
              <w:spacing w:after="0" w:line="240" w:lineRule="auto"/>
              <w:rPr>
                <w:sz w:val="24"/>
                <w:szCs w:val="24"/>
              </w:rPr>
            </w:pPr>
            <w:r>
              <w:rPr>
                <w:rFonts w:ascii="Times New Roman" w:hAnsi="Times New Roman" w:cs="Times New Roman"/>
                <w:color w:val="#000000"/>
                <w:sz w:val="24"/>
                <w:szCs w:val="24"/>
              </w:rPr>
              <w:t> нижняя прямая;</w:t>
            </w:r>
          </w:p>
          <w:p>
            <w:pPr>
              <w:jc w:val="left"/>
              <w:spacing w:after="0" w:line="240" w:lineRule="auto"/>
              <w:rPr>
                <w:sz w:val="24"/>
                <w:szCs w:val="24"/>
              </w:rPr>
            </w:pPr>
            <w:r>
              <w:rPr>
                <w:rFonts w:ascii="Times New Roman" w:hAnsi="Times New Roman" w:cs="Times New Roman"/>
                <w:color w:val="#000000"/>
                <w:sz w:val="24"/>
                <w:szCs w:val="24"/>
              </w:rPr>
              <w:t> нижняя боковая;</w:t>
            </w:r>
          </w:p>
          <w:p>
            <w:pPr>
              <w:jc w:val="left"/>
              <w:spacing w:after="0" w:line="240" w:lineRule="auto"/>
              <w:rPr>
                <w:sz w:val="24"/>
                <w:szCs w:val="24"/>
              </w:rPr>
            </w:pPr>
            <w:r>
              <w:rPr>
                <w:rFonts w:ascii="Times New Roman" w:hAnsi="Times New Roman" w:cs="Times New Roman"/>
                <w:color w:val="#000000"/>
                <w:sz w:val="24"/>
                <w:szCs w:val="24"/>
              </w:rPr>
              <w:t> верхняя боковая;</w:t>
            </w:r>
          </w:p>
          <w:p>
            <w:pPr>
              <w:jc w:val="left"/>
              <w:spacing w:after="0" w:line="240" w:lineRule="auto"/>
              <w:rPr>
                <w:sz w:val="24"/>
                <w:szCs w:val="24"/>
              </w:rPr>
            </w:pPr>
            <w:r>
              <w:rPr>
                <w:rFonts w:ascii="Times New Roman" w:hAnsi="Times New Roman" w:cs="Times New Roman"/>
                <w:color w:val="#000000"/>
                <w:sz w:val="24"/>
                <w:szCs w:val="24"/>
              </w:rPr>
              <w:t> верхняя прямая.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5569.68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09.0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 приема – передачи – атакующего удара – блока.  Развитие прыгучести. Учебно – тренировочная игра.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 соревнований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 приема – передачи – атакующего удара – блока. Совершенствование индивидуальной специальной выносливости, скоростно- силовых качеств. Учебно – тренировочная игра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«Элективные курсы по физической культуре» / Сергиевич Евгений Алексеевич.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Тычинин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Суханов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инженерных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978-5-00032-250-5.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http://www.iprbookshop.ru/70821.html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избранного</w:t>
            </w:r>
            <w:r>
              <w:rPr/>
              <w:t xml:space="preserve"> </w:t>
            </w:r>
            <w:r>
              <w:rPr>
                <w:rFonts w:ascii="Times New Roman" w:hAnsi="Times New Roman" w:cs="Times New Roman"/>
                <w:color w:val="#000000"/>
                <w:sz w:val="24"/>
                <w:szCs w:val="24"/>
              </w:rPr>
              <w:t>вида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Кылосов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Подосёнков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Шарков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Шивринская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https://urait.ru/bcode/438824</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Спортивные</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правила,</w:t>
            </w:r>
            <w:r>
              <w:rPr/>
              <w:t xml:space="preserve"> </w:t>
            </w:r>
            <w:r>
              <w:rPr>
                <w:rFonts w:ascii="Times New Roman" w:hAnsi="Times New Roman" w:cs="Times New Roman"/>
                <w:color w:val="#000000"/>
                <w:sz w:val="24"/>
                <w:szCs w:val="24"/>
              </w:rPr>
              <w:t>тактика,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Кукаева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Ястребова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Кублицкий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Гладюк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Жук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978-5-534-11314-3.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https://urait.ru/bcode/444895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судейства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проведение</w:t>
            </w:r>
            <w:r>
              <w:rPr/>
              <w:t xml:space="preserve"> </w:t>
            </w:r>
            <w:r>
              <w:rPr>
                <w:rFonts w:ascii="Times New Roman" w:hAnsi="Times New Roman" w:cs="Times New Roman"/>
                <w:color w:val="#000000"/>
                <w:sz w:val="24"/>
                <w:szCs w:val="24"/>
              </w:rPr>
              <w:t>соревнований</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игровым</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(баскетбол,</w:t>
            </w:r>
            <w:r>
              <w:rPr/>
              <w:t xml:space="preserve"> </w:t>
            </w:r>
            <w:r>
              <w:rPr>
                <w:rFonts w:ascii="Times New Roman" w:hAnsi="Times New Roman" w:cs="Times New Roman"/>
                <w:color w:val="#000000"/>
                <w:sz w:val="24"/>
                <w:szCs w:val="24"/>
              </w:rPr>
              <w:t>волейбол,</w:t>
            </w:r>
            <w:r>
              <w:rPr/>
              <w:t xml:space="preserve"> </w:t>
            </w:r>
            <w:r>
              <w:rPr>
                <w:rFonts w:ascii="Times New Roman" w:hAnsi="Times New Roman" w:cs="Times New Roman"/>
                <w:color w:val="#000000"/>
                <w:sz w:val="24"/>
                <w:szCs w:val="24"/>
              </w:rPr>
              <w:t>мини-футбол)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Поливаев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https://urait.ru/bcode/445294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50.8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26.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2024-2025_ФГОС3++2024_Бак-ЗФО-ПО2(ДОиНО)(24)_plx_Элективные курсы по физической культуре</dc:title>
  <dc:creator>FastReport.NET</dc:creator>
</cp:coreProperties>
</file>